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31E" w:rsidRPr="00953F36" w:rsidRDefault="00C6531E" w:rsidP="00C6531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color w:val="2D2D2D"/>
          <w:sz w:val="24"/>
          <w:szCs w:val="24"/>
          <w:lang w:val="sq-AL"/>
        </w:rPr>
      </w:pPr>
      <w:r w:rsidRPr="00953F36">
        <w:rPr>
          <w:rFonts w:ascii="Times New Roman" w:hAnsi="Times New Roman" w:cs="Times New Roman"/>
          <w:b/>
          <w:color w:val="2D2D2D"/>
          <w:sz w:val="24"/>
          <w:szCs w:val="24"/>
          <w:lang w:val="sq-AL"/>
        </w:rPr>
        <w:t>Njoftim vendimmarrjeje</w:t>
      </w:r>
    </w:p>
    <w:p w:rsidR="00C6531E" w:rsidRPr="00953F36" w:rsidRDefault="00C6531E" w:rsidP="00C6531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383838"/>
          <w:sz w:val="24"/>
          <w:szCs w:val="24"/>
          <w:lang w:val="sq-AL"/>
        </w:rPr>
      </w:pPr>
      <w:r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Gjykata Kushtetuese, e mbledhur sot më </w:t>
      </w:r>
      <w:r w:rsidR="006910C2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09.07</w:t>
      </w:r>
      <w:r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.2024, mori në shqyrtim çështjen 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e paraqitur nga </w:t>
      </w:r>
      <w:r w:rsidR="00563A44" w:rsidRPr="00953F36">
        <w:rPr>
          <w:rFonts w:ascii="Times New Roman" w:hAnsi="Times New Roman" w:cs="Times New Roman"/>
          <w:color w:val="383838"/>
          <w:sz w:val="24"/>
          <w:szCs w:val="24"/>
          <w:lang w:val="sq-AL"/>
        </w:rPr>
        <w:t xml:space="preserve">33 deputetë </w:t>
      </w:r>
      <w:r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me objekt </w:t>
      </w:r>
      <w:bookmarkStart w:id="0" w:name="_Hlk141265543"/>
      <w:r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shfuqizimin e </w:t>
      </w:r>
      <w:r w:rsidR="00563A44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ligjin nr. 106/2023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, q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ndryshoi </w:t>
      </w:r>
      <w:r w:rsidR="00B73368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disa </w:t>
      </w:r>
      <w:r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dispozita të ligjit</w:t>
      </w:r>
      <w:r w:rsidR="00B73368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nr. 8891/2002</w:t>
      </w:r>
      <w:r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bookmarkEnd w:id="0"/>
      <w:r w:rsidR="00174E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“P</w:t>
      </w:r>
      <w:r w:rsidR="006910C2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ër organizimin dhe funksionimin e komisioneve hetimore</w:t>
      </w:r>
      <w:r w:rsidR="00174E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”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.</w:t>
      </w:r>
    </w:p>
    <w:p w:rsidR="00B73368" w:rsidRPr="00953F36" w:rsidRDefault="00B73368" w:rsidP="00C6531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953F36">
        <w:rPr>
          <w:rFonts w:ascii="Times New Roman" w:hAnsi="Times New Roman" w:cs="Times New Roman"/>
          <w:color w:val="383838"/>
          <w:sz w:val="24"/>
          <w:szCs w:val="24"/>
          <w:lang w:val="sq-AL"/>
        </w:rPr>
        <w:t xml:space="preserve"> </w:t>
      </w:r>
    </w:p>
    <w:p w:rsidR="00BD0733" w:rsidRPr="00953F36" w:rsidRDefault="00B73368" w:rsidP="00C6531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Gjykata </w:t>
      </w:r>
      <w:r w:rsidR="00BD0733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vlerësoi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fillimisht, </w:t>
      </w:r>
      <w:r w:rsidR="00BD0733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se 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 pretendime</w:t>
      </w:r>
      <w:r w:rsidR="00BD0733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 për procedurën e miratimit të ligjit nr. 106/2023</w:t>
      </w:r>
      <w:r w:rsidR="00BD76A9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k</w:t>
      </w:r>
      <w:r w:rsidR="00BD0733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BD76A9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rkuesi </w:t>
      </w:r>
      <w:r w:rsidR="00BD0733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nuk ka parashtruar argumente të nivelit kushtetues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. A</w:t>
      </w:r>
      <w:r w:rsidR="00BD0733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snjë nga shkeljet 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procedurale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BD0733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pretenduara nuk është argumentuar në drejtim të cenimit të normave kushtetuese. 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 m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tep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r, </w:t>
      </w:r>
      <w:r w:rsidR="00BD0733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mungesa e shqyrtimit të nismave të dy deputetëve të tjerë nuk është provuar të 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ket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BD0733"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prekur pajtueshmërinë e ligjit të kundërshtuar me Kushtetutë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n.</w:t>
      </w:r>
    </w:p>
    <w:p w:rsidR="00BD0733" w:rsidRPr="00953F36" w:rsidRDefault="00BD0733" w:rsidP="00C6531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:rsidR="00BD0733" w:rsidRDefault="00563A44" w:rsidP="00C6531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  <w:r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Në lidhje me themelin e çështjes, </w:t>
      </w:r>
      <w:r w:rsidR="00953F36" w:rsidRPr="00953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>Gjykata vendosi pranimin pjesërisht të kërkesës,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 xml:space="preserve"> s</w:t>
      </w:r>
      <w:r w:rsidR="00EC3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>m</w:t>
      </w:r>
      <w:r w:rsidR="00EC3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 xml:space="preserve"> p</w:t>
      </w:r>
      <w:r w:rsidR="00EC3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>sht</w:t>
      </w:r>
      <w:r w:rsidR="00EC3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  <w:t xml:space="preserve">: </w:t>
      </w:r>
    </w:p>
    <w:p w:rsidR="00EC3535" w:rsidRPr="00953F36" w:rsidRDefault="00EC3535" w:rsidP="00C6531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:rsidR="00327A30" w:rsidRDefault="00BD0733" w:rsidP="00327A30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Njëzëri, 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konstatimin e papajtueshm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ris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me Kushtetut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 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të 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nenit </w:t>
      </w:r>
      <w:r w:rsidRP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4 të ligjit nr. 106/2023, 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q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lidhet me nism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 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 krijimin e komisionit hetimor, 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 shkak </w:t>
      </w:r>
      <w:r w:rsidRP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të boshllëku</w:t>
      </w:r>
      <w:r w:rsidR="00953F36" w:rsidRP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 w:rsidRP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ligjor në përmbajtjen e kësaj dispozite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. Boshll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ku ligjor ka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b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j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me nevoj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 </w:t>
      </w:r>
      <w:r w:rsidRP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për 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“</w:t>
      </w:r>
      <w:r w:rsidRP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formulime alternative të objektit të hetimit”, siç është shprehur Gjykata në jurisprudencën e saj (vendimi nr. 30/2014), p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asi</w:t>
      </w:r>
      <w:r w:rsidRP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cenon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  <w:r w:rsidRP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në thelb</w:t>
      </w:r>
      <w:r w:rsid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  <w:r w:rsidRPr="00563A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drejtën e pakicës parlamentare për ngritjen e komisionit hetimor. </w:t>
      </w:r>
    </w:p>
    <w:p w:rsidR="00327A30" w:rsidRPr="00327A30" w:rsidRDefault="00A77F76" w:rsidP="00327A30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</w:t>
      </w:r>
      <w:r w:rsidR="00EC3535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 sa</w:t>
      </w:r>
      <w:r w:rsidR="00563A44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</w:t>
      </w:r>
      <w:r w:rsidR="00EC3535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sip</w:t>
      </w:r>
      <w:r w:rsidR="00EC3535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563A44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r, </w:t>
      </w:r>
      <w:r w:rsidR="00BD0733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Gjykata, pa vënë në diskutim fuqinë detyruese të vendimeve të saj, vëren se</w:t>
      </w:r>
      <w:r w:rsidR="00563A44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</w:t>
      </w:r>
      <w:r w:rsidR="00BD0733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edhe pse gjatë gjykimit u konstatua se kjo dispozitë ka pasur si qëllim të reflektojë jurisprudencën kushtetuese, ky reflektim </w:t>
      </w:r>
      <w:r w:rsidR="00EC3535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sht</w:t>
      </w:r>
      <w:r w:rsidR="00EC3535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i pa</w:t>
      </w:r>
      <w:r w:rsidR="00BD0733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plotë, për sa kohë </w:t>
      </w:r>
      <w:r w:rsidR="00190767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jan</w:t>
      </w:r>
      <w:r w:rsidR="00EC3535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reflektuar vet</w:t>
      </w:r>
      <w:r w:rsidR="00EC3535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m tre kriteret: </w:t>
      </w:r>
      <w:r w:rsidR="00327A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i) </w:t>
      </w:r>
      <w:r w:rsidR="00327A30" w:rsidRPr="00327A30">
        <w:rPr>
          <w:rFonts w:ascii="Times New Roman" w:hAnsi="Times New Roman" w:cs="Times New Roman"/>
          <w:sz w:val="24"/>
          <w:szCs w:val="24"/>
          <w:lang w:val="sq-AL"/>
        </w:rPr>
        <w:t xml:space="preserve">çështja duhet të ketë të bëjë me funksionin ligjvënës dhe funksione të tjera  të Kuvendit; </w:t>
      </w:r>
      <w:r w:rsidR="00327A30">
        <w:rPr>
          <w:rFonts w:ascii="Times New Roman" w:hAnsi="Times New Roman" w:cs="Times New Roman"/>
          <w:sz w:val="24"/>
          <w:szCs w:val="24"/>
          <w:lang w:val="sq-AL"/>
        </w:rPr>
        <w:t xml:space="preserve">ii) </w:t>
      </w:r>
      <w:r w:rsidR="00327A30" w:rsidRPr="00327A30">
        <w:rPr>
          <w:rFonts w:ascii="Times New Roman" w:hAnsi="Times New Roman" w:cs="Times New Roman"/>
          <w:sz w:val="24"/>
          <w:szCs w:val="24"/>
          <w:lang w:val="sq-AL"/>
        </w:rPr>
        <w:t>objekti i hetimit duhet të fokusohet në çështje ose subjekte konkrete</w:t>
      </w:r>
      <w:r w:rsidR="00327A30">
        <w:rPr>
          <w:rFonts w:ascii="Times New Roman" w:hAnsi="Times New Roman" w:cs="Times New Roman"/>
          <w:sz w:val="24"/>
          <w:szCs w:val="24"/>
          <w:lang w:val="sq-AL"/>
        </w:rPr>
        <w:t xml:space="preserve">; iii) </w:t>
      </w:r>
      <w:r w:rsidR="00327A30" w:rsidRPr="00327A30">
        <w:rPr>
          <w:rFonts w:ascii="Times New Roman" w:hAnsi="Times New Roman" w:cs="Times New Roman"/>
          <w:sz w:val="24"/>
          <w:szCs w:val="24"/>
          <w:lang w:val="sq-AL"/>
        </w:rPr>
        <w:t xml:space="preserve">duhet të ekzistojnë të dhëna ose indicie të mjaftueshme për ekzistencën e çështjes për të cilën kërkohet ngritja e komisionit hetimor. </w:t>
      </w:r>
    </w:p>
    <w:p w:rsidR="00A77F76" w:rsidRDefault="00190767" w:rsidP="00A77F76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Duke l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jasht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k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tyre kr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i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tereve </w:t>
      </w:r>
      <w:r w:rsidR="00BD0733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“formulimi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</w:t>
      </w:r>
      <w:r w:rsidR="00BD0733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alternativ” 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objektit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hetimit, si </w:t>
      </w:r>
      <w:r w:rsidR="00BD0733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një nga elementet që mundëson ngritjen e komisioni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 w:rsidR="00BD0733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hetimor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, formulimi aktual i dispozit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 ligjore passjell cenimin deri 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pamund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sin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ushtrimit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së drejtës së pakicës parlamentare. </w:t>
      </w:r>
    </w:p>
    <w:p w:rsidR="00125AA7" w:rsidRDefault="00125AA7" w:rsidP="00A77F76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Gjykata theksoi se kontrolli parlamentar 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sht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i lidhur me legjitimitetin e drejtp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rdrejt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demokratik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Parlamentit dhe 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rmjet tij merr legjitimitet edhe vet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qeverisja. </w:t>
      </w:r>
    </w:p>
    <w:p w:rsidR="00A77F76" w:rsidRDefault="00A77F76" w:rsidP="00A77F7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:rsidR="00A77F76" w:rsidRDefault="00953F36" w:rsidP="00190767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lastRenderedPageBreak/>
        <w:t xml:space="preserve">Me shumicë votash, 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konstatimin e papajtueshm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ris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me Kushtetut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 </w:t>
      </w:r>
      <w:r w:rsidR="00174E77" w:rsidRPr="007971D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të përmbajtjes së </w:t>
      </w:r>
      <w:r w:rsidRPr="007971D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nenit 7 të ligjit nr. 106/2023, që parashikon vendimin e ndërmjetëm për marrjen e provave, për </w:t>
      </w:r>
      <w:r w:rsidR="00190767" w:rsidRPr="007971D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q-AL"/>
        </w:rPr>
        <w:t>shkak t</w:t>
      </w:r>
      <w:r w:rsidR="00EC3535" w:rsidRPr="007971D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190767" w:rsidRPr="007971D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boshllëkut ligjor në përmbajtjen e </w:t>
      </w:r>
      <w:r w:rsidR="00174E77" w:rsidRPr="007971D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q-AL"/>
        </w:rPr>
        <w:t>tij</w:t>
      </w:r>
      <w:r w:rsidR="00190767" w:rsidRPr="007971D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q-AL"/>
        </w:rPr>
        <w:t>, p</w:t>
      </w:r>
      <w:r w:rsidR="00EC3535" w:rsidRPr="007971D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190767" w:rsidRPr="007971D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r </w:t>
      </w:r>
      <w:r w:rsidRPr="007971D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sa kohë ky formulim nuk 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përmban garanci të plota procedurale për të garantuar të drejtën e pakicës parlamentare për 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k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ontroll efektiv parlamentar. 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Marrja e provave nga komisioni hetimor duhet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synoj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sjell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“drit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err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sir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”</w:t>
      </w:r>
      <w:r w:rsidR="00174E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nyr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q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mund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soj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sqarimin e 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rgjegj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sive politike. </w:t>
      </w:r>
    </w:p>
    <w:p w:rsidR="00190767" w:rsidRPr="00A77F76" w:rsidRDefault="00953F36" w:rsidP="00A77F76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Vendimi i ndërmjetëm për refuzimin e 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provave duhet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jet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përjashtim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nga rregulli i 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rgjithsh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m</w:t>
      </w:r>
      <w:r w:rsidR="00174E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si</w:t>
      </w:r>
      <w:r w:rsidR="00A77F76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as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cilit provat e kërkuara nga pakica parlamentare duhet të merren. Vendimi 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 refuzimin e provave d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uhet të jetë i arsyetuar në drejtim të shkaqeve</w:t>
      </w:r>
      <w:r w:rsidR="00A77F76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. 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Nj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vendim refuzimi mund të çojë edhe në </w:t>
      </w:r>
      <w:r w:rsidR="00A77F76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lindjen e nj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mosmarrëveshje</w:t>
      </w:r>
      <w:r w:rsidR="00A77F76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je</w:t>
      </w:r>
      <w:r w:rsidR="00190767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kompetencash ndërmjet organeve kushtetuese. </w:t>
      </w:r>
    </w:p>
    <w:p w:rsidR="00953F36" w:rsidRPr="00953F36" w:rsidRDefault="00953F36" w:rsidP="00953F36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:rsidR="00A77F76" w:rsidRDefault="00953F36" w:rsidP="00953F36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Me shumicë votash, 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shfuqizimin e 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9 të ligjit nr. 106/2023, që ka shtuar pikat 1/2 dhe 2/4 në nenin 16 të ligjit për komisionet hetimore,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q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lidhen, 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rkat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sisht, me marrjen e lejes nga prokuroria dhe gjykata 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 pyetjen e d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shmitar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ve,</w:t>
      </w: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si dhe me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drejt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 e d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shmitarit 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refuzuar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shmoj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. </w:t>
      </w:r>
    </w:p>
    <w:p w:rsidR="00EC3535" w:rsidRDefault="00EC3535" w:rsidP="00A77F76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Gjykata, duke mbajtur në konsideratë se procedura e hetimit parlamentar ndjek qëllime të ndryshme nga ajo e procedimit penal, duke synuar qartësimin e një 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çë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shtje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për arsye politike, thekson se ky qëllim përputhet me parimin e ndarjes së pushteteve.  </w:t>
      </w:r>
    </w:p>
    <w:p w:rsidR="00A77F76" w:rsidRDefault="00EC3535" w:rsidP="00A77F76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Për s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më sipër, 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Gjykata arriti 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k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rfundim </w:t>
      </w:r>
      <w:r w:rsidR="00953F36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për shkak të paqartësisë në formulimin e këtyre parashikimeve ligjore. </w:t>
      </w:r>
    </w:p>
    <w:p w:rsidR="00A77F76" w:rsidRDefault="00953F36" w:rsidP="00A77F76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Në lidhje me 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pik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 1/2, Gjykata </w:t>
      </w:r>
      <w:r w:rsidR="006A056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vlerësoi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se </w:t>
      </w:r>
      <w:r w:rsidR="006A056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formulimi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nuk 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sht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i qart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drej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im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parimit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ndarjes dhe balancimit nd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rmjet pushteteve, si dhe nevoj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 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 k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nd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rhyrje. Q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l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l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imi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i ruajtjes s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sekretit hetimor mund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rmbushet nga pyetja e d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shmitar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ve me dyer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mbyllura. </w:t>
      </w:r>
    </w:p>
    <w:p w:rsidR="00125AA7" w:rsidRDefault="00A77F76" w:rsidP="00125AA7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Kurse 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lidhje me </w:t>
      </w:r>
      <w:r w:rsidR="00953F36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pikën 2/4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  <w:r w:rsidR="00953F36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Gjykata vëren se ndonëse </w:t>
      </w:r>
      <w:r w:rsidR="00170F72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në thelb duket se </w:t>
      </w:r>
      <w:r w:rsidR="00953F36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i referohet përmbajtjes së nenit 32 të Kushtetutës,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lidhur me garantimin e s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drejt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 kushtetuese p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mos deklaruar kund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 vet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vetes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ose familj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es s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vet, </w:t>
      </w:r>
      <w:r w:rsidR="00953F36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kjo e drejtë është e </w:t>
      </w:r>
      <w:r w:rsidR="00170F72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zbatueshme në mënyrë të drejtpërdrejtë jo vetëm nga norma kushtetuese, por 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garantohet</w:t>
      </w:r>
      <w:r w:rsidR="00170F72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edhe në 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kuad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r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170F72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parimit të procesit të rregull</w:t>
      </w:r>
      <w:r w:rsidR="00953F36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 w:rsidR="00170F72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ligjor, sipas përmbajtjes së nenit 3, shkronja “b”, të ligjit nr. 106/2023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. 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ç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do rast ajo</w:t>
      </w:r>
      <w:r w:rsidR="000C181C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plotësohet edhe nga garancitë që ofron Kodi i Procedurës Penale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i cili 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sht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i zbatuesh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m 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procedur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 hetimore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kontrollit parlamentar</w:t>
      </w:r>
      <w:r w:rsidR="00170F72" w:rsidRPr="00A77F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. </w:t>
      </w:r>
    </w:p>
    <w:p w:rsidR="00125AA7" w:rsidRDefault="00125AA7" w:rsidP="00125AA7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:rsidR="00125AA7" w:rsidRPr="00EC3535" w:rsidRDefault="00170F72" w:rsidP="0066541B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Me shumicë votash</w:t>
      </w:r>
      <w:r w:rsidR="00125AA7"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  <w:r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interpretimin pajtues të nenit 6, pika 3, shkronjat “c” dhe “d”, të ligjit nr. 106/2023, </w:t>
      </w:r>
      <w:r w:rsidR="00EC3535"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EC3535"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lidhje me marrjen e provave pa pjes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EC3535"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marrjen e publikut, </w:t>
      </w:r>
      <w:r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pasi konstatoi se </w:t>
      </w:r>
      <w:r w:rsidR="00EC3535"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kjo dispozit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EC3535"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jep disa rezultate n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EC3535"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var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EC3535"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si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EC3535"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metodave t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EC3535"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interpretimi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</w:t>
      </w:r>
      <w:r w:rsid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ndaj Gjykata përzgjodhi atë </w:t>
      </w:r>
      <w:r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rezultat që është i pajtueshëm me normat kushtetuese. </w:t>
      </w:r>
    </w:p>
    <w:p w:rsidR="00EC3535" w:rsidRDefault="00EC3535" w:rsidP="00EC3535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Gjykata vlerëson të theksojë se në trajtimin e pretendimeve dhe prapësimeve mbi këtë dispozitë ballafaq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hen e drejta për informim dhe transparencë e organeve të zgjedhura, në kuptim të nenit 23, pika 3, të Kushtetutës, në raport me të drejtat e tjera të njeriut (si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jan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ë ajo e jetës private, </w:t>
      </w:r>
      <w:r w:rsidR="006A056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personale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</w:t>
      </w:r>
      <w:r w:rsidR="006A056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jet</w:t>
      </w:r>
      <w:r w:rsidR="006A056D" w:rsidRPr="006A056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6A056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, shënd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ti</w:t>
      </w:r>
      <w:r w:rsidR="006A056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etj.). 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Gjykata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arriti në përfundimin se, si rregull, veprimtaria e komisionit hetimor duhet të jetë publike dhe vetëm përjashtimisht ajo mund të zhvillohet me dyer të mbyllura, kur të drejtat e njeriut prevalojnë në raport me të drejtën për informim.  </w:t>
      </w:r>
    </w:p>
    <w:p w:rsidR="00125AA7" w:rsidRDefault="00EC3535" w:rsidP="00125AA7">
      <w:pPr>
        <w:pStyle w:val="ListParagraph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Përve</w:t>
      </w:r>
      <w:r w:rsidR="00C07D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sa më sipër, n</w:t>
      </w:r>
      <w:r w:rsidR="00170F72" w:rsidRPr="00EC35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ë lidhje me “sekretin tregtar”, sipas shkronjës “c”, Gjykata vlerësoi se në zbatimin e kësaj dispozite duhet të zbatohet përkufizimi i tij sipas legjislacionit në fuqi.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Ndërsa në </w:t>
      </w:r>
      <w:r w:rsidR="00170F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lidhje me “sekretin në interes të shtetit</w:t>
      </w:r>
      <w:r w:rsidR="00125A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”</w:t>
      </w:r>
      <w:r w:rsidR="00170F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, sipas shkronjës “d”, Gjykata vlerësoi se ai duhet të interpretohet si çdo e dhënë e parashikuar si informacion i klasifikuar në bazë të ligjit, përfshir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170F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edhe “sekretin hetimor”.   </w:t>
      </w:r>
    </w:p>
    <w:p w:rsidR="00EC3535" w:rsidRDefault="00EC3535" w:rsidP="00C6531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:rsidR="00C6531E" w:rsidRPr="00953F36" w:rsidRDefault="00C6531E" w:rsidP="00EC3535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383838"/>
          <w:sz w:val="24"/>
          <w:szCs w:val="24"/>
          <w:lang w:val="sq-AL"/>
        </w:rPr>
      </w:pPr>
      <w:r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Për sa u përket dispozitave të tjera të </w:t>
      </w:r>
      <w:r w:rsidR="000C18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ligjit nr. 106/2023 të </w:t>
      </w:r>
      <w:r w:rsidRPr="00953F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kundërshtuara nga kërkuesi, Gjykata vlerësoi </w:t>
      </w:r>
      <w:r w:rsidR="000C18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rrëzimin e tyre si të pabazuara. </w:t>
      </w:r>
    </w:p>
    <w:p w:rsidR="00362B4D" w:rsidRPr="00953F36" w:rsidRDefault="00362B4D" w:rsidP="00C65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362B4D" w:rsidRPr="0095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D16"/>
    <w:multiLevelType w:val="hybridMultilevel"/>
    <w:tmpl w:val="6B18F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54F6A"/>
    <w:multiLevelType w:val="multilevel"/>
    <w:tmpl w:val="F9A6E0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E070E82"/>
    <w:multiLevelType w:val="hybridMultilevel"/>
    <w:tmpl w:val="EF0A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F14"/>
    <w:multiLevelType w:val="hybridMultilevel"/>
    <w:tmpl w:val="99F6F7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360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731816">
    <w:abstractNumId w:val="2"/>
  </w:num>
  <w:num w:numId="3" w16cid:durableId="221411189">
    <w:abstractNumId w:val="3"/>
  </w:num>
  <w:num w:numId="4" w16cid:durableId="916330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09"/>
    <w:rsid w:val="000C181C"/>
    <w:rsid w:val="00125AA7"/>
    <w:rsid w:val="00170F72"/>
    <w:rsid w:val="00174E77"/>
    <w:rsid w:val="00190767"/>
    <w:rsid w:val="00327A30"/>
    <w:rsid w:val="00362B4D"/>
    <w:rsid w:val="00563A44"/>
    <w:rsid w:val="005E1EAC"/>
    <w:rsid w:val="006910C2"/>
    <w:rsid w:val="006A056D"/>
    <w:rsid w:val="007971D8"/>
    <w:rsid w:val="00953F36"/>
    <w:rsid w:val="00A77F76"/>
    <w:rsid w:val="00B73368"/>
    <w:rsid w:val="00BC0909"/>
    <w:rsid w:val="00BD0733"/>
    <w:rsid w:val="00BD76A9"/>
    <w:rsid w:val="00C07DC2"/>
    <w:rsid w:val="00C6531E"/>
    <w:rsid w:val="00C749D7"/>
    <w:rsid w:val="00E920ED"/>
    <w:rsid w:val="00EC3535"/>
    <w:rsid w:val="00FA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97F9E-48AE-4EAF-B829-B54C138B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1E"/>
    <w:pPr>
      <w:spacing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2 Char,Normal 1 Char,Dot pt Char,List Paragraph1 Char,F5 List Paragraph Char,List Paragraph Char Char Char Char,Indicator Text Char,Colorful List - Accent 11 Char,Numbered Para 1 Char,Bullet 1 Char,Bullet Points Char"/>
    <w:link w:val="ListParagraph"/>
    <w:uiPriority w:val="34"/>
    <w:qFormat/>
    <w:locked/>
    <w:rsid w:val="00BD76A9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aliases w:val="List Paragraph2,Normal 1,Dot pt,List Paragraph1,F5 List Paragraph,List Paragraph Char Char Char,Indicator Text,Colorful List - Accent 11,Numbered Para 1,Bullet 1,Bullet Points,MAIN CONTENT,Párrafo de lista,Recommendation,List Paragraph 1"/>
    <w:basedOn w:val="Normal"/>
    <w:link w:val="ListParagraphChar"/>
    <w:uiPriority w:val="34"/>
    <w:qFormat/>
    <w:rsid w:val="00BD76A9"/>
    <w:pPr>
      <w:spacing w:line="360" w:lineRule="auto"/>
      <w:ind w:left="720"/>
      <w:contextualSpacing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Hoxha</dc:creator>
  <cp:keywords/>
  <dc:description/>
  <cp:lastModifiedBy>Ervina Qendro</cp:lastModifiedBy>
  <cp:revision>2</cp:revision>
  <cp:lastPrinted>2024-07-09T16:11:00Z</cp:lastPrinted>
  <dcterms:created xsi:type="dcterms:W3CDTF">2024-07-09T16:53:00Z</dcterms:created>
  <dcterms:modified xsi:type="dcterms:W3CDTF">2024-07-09T16:53:00Z</dcterms:modified>
</cp:coreProperties>
</file>